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H SarabunPSK" w:hAnsi="TH SarabunPSK" w:eastAsia="Sarabun" w:cs="TH SarabunPSK"/>
          <w:b/>
          <w:sz w:val="32"/>
          <w:szCs w:val="32"/>
        </w:rPr>
      </w:pPr>
      <w:r>
        <w:rPr>
          <w:rFonts w:hint="default" w:ascii="TH SarabunPSK" w:hAnsi="TH SarabunPSK" w:eastAsia="Sarabun" w:cs="TH SarabunPSK"/>
          <w:b/>
          <w:bCs/>
          <w:sz w:val="32"/>
          <w:szCs w:val="32"/>
          <w:rtl w:val="0"/>
          <w:cs/>
          <w:lang w:val="th-TH" w:bidi="th-TH"/>
        </w:rPr>
        <w:t>คุณสมบัติของผู้เสนอขอรับทุนวิจัยงบประมาณเงินรายได้และเงื่อนไข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หัวหน้าโครงการผู้มีสิทธิเสนอขอรับทุน คือ นักวิจัยสายวิชาการและสายสนับสนุน โดยนักวิจัยสายวิชาการต้องเป็นนักวิจัยหน้าใหม่หรือนักวิจัยที่ยื่นเสนอขอทุนภายนอกมหาวิทยาลัยอย่างต่อเนื่องมาเป็นระยะเวลานานกว่า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4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ปี แต่ไม่ได้รับการสนับสนุนทุนวิจัยจากภายนอกมหาวิทยาลัย 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firstLine="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(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หมายเหตุ นักวิจัยหน้าใหม่ หมายถึงบุคลากรในมหาวิทยาลัยเทคโนโลยีราชมงคลตะวันออกที่ทำงาน</w:t>
      </w:r>
      <w:bookmarkStart w:id="0" w:name="_GoBack"/>
      <w:bookmarkEnd w:id="0"/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ในมหาวิทยาลัยไม่นานกว่า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5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ปี สำหรับปริญญาตรี หรือ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3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ปี สำหรับปริญญาโท หรือ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2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ปี สำหรับปริญญาเอก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หัวหน้าโครงการและผู้ร่วมวิจัยผู้มีสิทธิเสนอขอรับทุนต้องเป็นคุณสมบัติเฉพาะ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en-US" w:bidi="th-TH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ดังนี้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80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single"/>
          <w:shd w:val="clear" w:fill="auto"/>
          <w:vertAlign w:val="baseline"/>
          <w:rtl w:val="0"/>
          <w:cs/>
          <w:lang w:val="th-TH" w:bidi="th-TH"/>
        </w:rPr>
        <w:t>หัวหน้าโครงการ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สามารถปฏิบัติการและควบคุมการทำวิจัยได้ตลอดระยะเวลาที่ได้รับทุน รวมทั้งสามารถดำเนินการวิจัยให้แล้วเสร็จภายในเวลาที่กำหนดอย่างมีคุณภาพ 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80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single"/>
          <w:shd w:val="clear" w:fill="auto"/>
          <w:vertAlign w:val="baseline"/>
          <w:rtl w:val="0"/>
          <w:cs/>
          <w:lang w:val="th-TH" w:bidi="th-TH"/>
        </w:rPr>
        <w:t>หัวหน้าโครงการ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สามารถส่งข้อเสนอโครงการได้ไม่เกิน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2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โครงการ   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80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single"/>
          <w:shd w:val="clear" w:fill="auto"/>
          <w:vertAlign w:val="baseline"/>
          <w:rtl w:val="0"/>
          <w:cs/>
          <w:lang w:val="th-TH" w:bidi="th-TH"/>
        </w:rPr>
        <w:t>หัวหน้าโครงการ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มีโครงการที่อยู่ระหว่างการดำเนินการไม่เกิน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2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โครงการ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80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single"/>
          <w:shd w:val="clear" w:fill="auto"/>
          <w:vertAlign w:val="baseline"/>
          <w:rtl w:val="0"/>
          <w:cs/>
          <w:lang w:val="th-TH" w:bidi="th-TH"/>
        </w:rPr>
        <w:t>หัวหน้าโครงการ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ต้องไม่เป็นผู้ติดค้างการส่งรายงานต่างๆ ของโครงการวิจัยที่ได้รับทุนสนับสนุนการวิจัยในทุกหน่วยงานทั้งภายในและภายนอกโดยไม่มีเหตุผลอันสมควร 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80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ผู้วิจัยเป็นผู้มีความรู้ความสามารถเป็นอย่างดีในวิทยาการด้านใดด้านหนึ่งเกี่ยวกับการวิจัยในข้อเสนอการวิจัยที่ขอรับทุน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80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ผู้วิจัยเป็นผู้มีศักยภาพความพร้อมด้านวุฒิการศึกษา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80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ผู้วิจัยเป็นผู้มีจริยธรรมตามจรรยาบรรณนักวิจัย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200" w:line="276" w:lineRule="auto"/>
        <w:ind w:left="1800" w:right="0" w:firstLine="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</w:p>
    <w:p>
      <w:pPr>
        <w:spacing w:after="0" w:line="240" w:lineRule="auto"/>
        <w:rPr>
          <w:rFonts w:hint="default" w:ascii="TH SarabunPSK" w:hAnsi="TH SarabunPSK" w:eastAsia="Sarabun" w:cs="TH SarabunPSK"/>
          <w:sz w:val="32"/>
          <w:szCs w:val="32"/>
        </w:rPr>
      </w:pPr>
      <w:r>
        <w:rPr>
          <w:rFonts w:hint="default" w:ascii="TH SarabunPSK" w:hAnsi="TH SarabunPSK" w:eastAsia="Sarabun" w:cs="TH SarabunPSK"/>
          <w:b/>
          <w:sz w:val="32"/>
          <w:szCs w:val="32"/>
          <w:rtl w:val="0"/>
        </w:rPr>
        <w:t>***</w:t>
      </w:r>
      <w:r>
        <w:rPr>
          <w:rFonts w:hint="default" w:ascii="TH SarabunPSK" w:hAnsi="TH SarabunPSK" w:eastAsia="Sarabun" w:cs="TH SarabunPSK"/>
          <w:b/>
          <w:bCs/>
          <w:sz w:val="32"/>
          <w:szCs w:val="32"/>
          <w:rtl w:val="0"/>
          <w:cs/>
          <w:lang w:val="th-TH" w:bidi="th-TH"/>
        </w:rPr>
        <w:t>ข้อเสนอแนะ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40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นักวิจัย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1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ท่านควรเป็นหัวหน้าโครงการวิจัย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(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รวมทุกแหล่งทุนตลอดทั้งปี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)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ไม่เกิน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2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โครงการ</w:t>
      </w:r>
    </w:p>
    <w:p>
      <w:pPr>
        <w:spacing w:after="0" w:line="240" w:lineRule="auto"/>
        <w:rPr>
          <w:rFonts w:hint="default" w:ascii="TH SarabunPSK" w:hAnsi="TH SarabunPSK" w:eastAsia="Sarabun" w:cs="TH SarabunPSK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20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cs="TH SarabunPSK"/>
        </w:rPr>
        <w:br w:type="page"/>
      </w:r>
    </w:p>
    <w:p>
      <w:pPr>
        <w:ind w:left="360" w:firstLine="0"/>
        <w:jc w:val="center"/>
        <w:rPr>
          <w:rFonts w:hint="default" w:ascii="TH SarabunPSK" w:hAnsi="TH SarabunPSK" w:eastAsia="Sarabun" w:cs="TH SarabunPSK"/>
          <w:b/>
          <w:sz w:val="32"/>
          <w:szCs w:val="32"/>
        </w:rPr>
      </w:pPr>
      <w:r>
        <w:rPr>
          <w:rFonts w:hint="default" w:ascii="TH SarabunPSK" w:hAnsi="TH SarabunPSK" w:eastAsia="Sarabun" w:cs="TH SarabunPSK"/>
          <w:b/>
          <w:bCs/>
          <w:sz w:val="32"/>
          <w:szCs w:val="32"/>
          <w:rtl w:val="0"/>
          <w:cs/>
          <w:lang w:val="th-TH" w:bidi="th-TH"/>
        </w:rPr>
        <w:t xml:space="preserve">เกณฑ์ในการพิจารณาข้อเสนอเชิงหลักการ </w:t>
      </w:r>
      <w:r>
        <w:rPr>
          <w:rFonts w:hint="default" w:ascii="TH SarabunPSK" w:hAnsi="TH SarabunPSK" w:eastAsia="Sarabun" w:cs="TH SarabunPSK"/>
          <w:b/>
          <w:sz w:val="32"/>
          <w:szCs w:val="32"/>
          <w:rtl w:val="0"/>
        </w:rPr>
        <w:t xml:space="preserve">(Concept Paper) </w:t>
      </w:r>
      <w:r>
        <w:rPr>
          <w:rFonts w:hint="default" w:ascii="TH SarabunPSK" w:hAnsi="TH SarabunPSK" w:eastAsia="Sarabun" w:cs="TH SarabunPSK"/>
          <w:b/>
          <w:bCs/>
          <w:sz w:val="32"/>
          <w:szCs w:val="32"/>
          <w:rtl w:val="0"/>
          <w:cs/>
          <w:lang w:val="th-TH" w:bidi="th-TH"/>
        </w:rPr>
        <w:t>เบื้องต้น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ข้อเสนอโครงการเป็นโครงการเดี่ยวที่ให้ผลกระทบที่ชัดเจน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single"/>
          <w:shd w:val="clear" w:fill="auto"/>
          <w:vertAlign w:val="baseline"/>
          <w:rtl w:val="0"/>
          <w:cs/>
          <w:lang w:val="th-TH" w:bidi="th-TH"/>
        </w:rPr>
        <w:t>หรือ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ชุดโครงการวิจัยที่มีกรอบการวิจัยที่แสดงถึงเป้าหมายและตัวชี้วัดของชุดโครงการ รวมถึงแสดงให้เห็นถึงความเชื่อมโยงของโครงการวิจัยที่อยู่ภายใต้ชุดโครงการเพื่อตอบเป้าหมายใหญ่ของชุดโครงการอย่างชัดเจน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ระยะเวลาดำเนินการของโครงการวิจัยไม่เกิน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3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ปี แต่ให้มีการพิจารณาอนุมัติเป็นรายปี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ข้อเสนอโครงการวิจัยต้องไม่ใช่วิทยานิพนธ์ปริญญาโท หรือปริญญาเอกของกลุ่มผู้วิจัย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มีวัตถุประสงค์ เป้าหมาย และแผนการดำเนินงานที่ชัดเจนสอดคล้องตามแนวทางประกาศทุน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กรอบงบประมาณขึ้นอยู่กับผลสัมฤทธิ์ที่สำคัญ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(key results)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ผลผลิต ผลลัพธ์ และผลกระทบจากงานวิจัย โดยใช้ระเบียบมหาวิทยาลัยเทคโนโลยีราชมงคลตะวันออกว่าด้วยการใช้จ่ายเงินอุดหนุนเพื่อการวิจัย</w:t>
      </w:r>
      <w:r>
        <w:rPr>
          <w:rFonts w:hint="cs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en-US" w:bidi="th-TH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พ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.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ศ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. 2550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หรือระเบียบอื่นที่ประกาศให้ใช้แทน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อาจมีการเชิญผู้มีส่วนได้เสียสำคัญ ผู้ใช้ประโยชน์จากงานวิจัยและผู้ทรงคุณวุฒิ และจะเชิญหน่วยงาน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/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นักวิจัยที่ได้ผ่านการพิจารณาเข้ามาหารือเพื่อพัฒนากรอบการวิจัยใหญ่ที่ตอบเป้าหมายและ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KR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ของแต่ละโปรแกรมต่อไป 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กรณีโครงการที่เป็นการดำเนินการวิจัยในมนุษย์หรือสัตว์ สามารถส่งข้อเสนอโครงการได้โดยยังไม่ต้องผ่านการ พิจารณาอนุมัติจากคณะกรรมการพิจารณาจริยธรรมการวิจัยในมนุษย์และคณะกรรมการควบคุมดูแลการใช้สัตว์ทดลอง เว้นแต่เมื่อได้รับการพิจารณาสนับสนุนให้ทุนวิจัยแล้ว จำเป็นต้องแสดงหลักฐานการยื่นขอการรับรองจากคณะกรรมการพิจารณาจริยธรรมการวิจัยในมนุษย์หรือสัตว์ก่อนการทำข้อตกลง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72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single"/>
          <w:shd w:val="clear" w:fill="auto"/>
          <w:vertAlign w:val="baseline"/>
          <w:rtl w:val="0"/>
          <w:cs/>
          <w:lang w:val="th-TH" w:bidi="th-TH"/>
        </w:rPr>
        <w:t>การพิจารณาเป็นพิเศษ</w:t>
      </w:r>
      <w:r>
        <w:rPr>
          <w:rFonts w:hint="cs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single"/>
          <w:shd w:val="clear" w:fill="auto"/>
          <w:vertAlign w:val="baseline"/>
          <w:rtl w:val="0"/>
          <w:cs/>
          <w:lang w:val="en-US" w:bidi="th-TH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เกิดขึ้นได้เมื่อมีผลผลิตและความร่วมมือในรูปแบบของงบประมาณสมทบหรือการสนับสนุนอื่นๆในกรณีต่อไปนี้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44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โครงการวิจัยด้านนวัตกรรมและเทคโนโลยีเกษตร และอาหารเพื่อความยั่งยืนจะได้รับการพิจารณาเป็นพิเศษ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44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imSun" w:cs="TH SarabunPSK"/>
          <w:sz w:val="32"/>
          <w:szCs w:val="32"/>
          <w:cs/>
          <w:lang w:val="th-TH" w:bidi="th-TH"/>
        </w:rPr>
        <w:t>โครงการที่ใช้โมเดลเศรษฐกิจ</w:t>
      </w:r>
      <w:r>
        <w:rPr>
          <w:rFonts w:hint="default" w:ascii="TH SarabunPSK" w:hAnsi="TH SarabunPSK" w:eastAsia="SimSun" w:cs="TH SarabunPSK"/>
          <w:sz w:val="32"/>
          <w:szCs w:val="32"/>
          <w:cs/>
          <w:lang w:bidi="th-TH"/>
        </w:rPr>
        <w:t xml:space="preserve"> </w:t>
      </w:r>
      <w:r>
        <w:rPr>
          <w:rFonts w:hint="default" w:ascii="TH SarabunPSK" w:hAnsi="TH SarabunPSK" w:eastAsia="SimSun" w:cs="TH SarabunPSK"/>
          <w:sz w:val="32"/>
          <w:szCs w:val="32"/>
          <w:cs w:val="0"/>
        </w:rPr>
        <w:t>BCG</w:t>
      </w:r>
      <w:r>
        <w:rPr>
          <w:rFonts w:hint="default" w:ascii="TH SarabunPSK" w:hAnsi="TH SarabunPSK" w:eastAsia="SimSun" w:cs="TH SarabunPSK"/>
          <w:sz w:val="32"/>
          <w:szCs w:val="32"/>
          <w:cs/>
          <w:lang w:val="en-US" w:bidi="th-TH"/>
        </w:rPr>
        <w:t xml:space="preserve"> </w:t>
      </w:r>
      <w:r>
        <w:rPr>
          <w:rFonts w:hint="default" w:ascii="TH SarabunPSK" w:hAnsi="TH SarabunPSK" w:eastAsia="SimSun" w:cs="TH SarabunPSK"/>
          <w:sz w:val="32"/>
          <w:szCs w:val="32"/>
          <w:cs/>
          <w:lang w:val="th-TH" w:bidi="th-TH"/>
        </w:rPr>
        <w:t xml:space="preserve">ซึ่งเป็นการพัฒนา </w:t>
      </w:r>
      <w:r>
        <w:rPr>
          <w:rFonts w:hint="default" w:ascii="TH SarabunPSK" w:hAnsi="TH SarabunPSK" w:eastAsia="SimSun" w:cs="TH SarabunPSK"/>
          <w:sz w:val="32"/>
          <w:szCs w:val="32"/>
          <w:cs w:val="0"/>
        </w:rPr>
        <w:t xml:space="preserve">3 </w:t>
      </w:r>
      <w:r>
        <w:rPr>
          <w:rFonts w:hint="default" w:ascii="TH SarabunPSK" w:hAnsi="TH SarabunPSK" w:eastAsia="SimSun" w:cs="TH SarabunPSK"/>
          <w:sz w:val="32"/>
          <w:szCs w:val="32"/>
          <w:cs/>
          <w:lang w:val="th-TH" w:bidi="th-TH"/>
        </w:rPr>
        <w:t xml:space="preserve">เศรษฐกิจ คือ เศรษฐกิจชีวภาพ </w:t>
      </w:r>
      <w:r>
        <w:rPr>
          <w:rFonts w:hint="default" w:ascii="TH SarabunPSK" w:hAnsi="TH SarabunPSK" w:eastAsia="SimSun" w:cs="TH SarabunPSK"/>
          <w:sz w:val="32"/>
          <w:szCs w:val="32"/>
          <w:cs w:val="0"/>
        </w:rPr>
        <w:t xml:space="preserve">(Bioeconomy) </w:t>
      </w:r>
      <w:r>
        <w:rPr>
          <w:rFonts w:hint="default" w:ascii="TH SarabunPSK" w:hAnsi="TH SarabunPSK" w:eastAsia="SimSun" w:cs="TH SarabunPSK"/>
          <w:sz w:val="32"/>
          <w:szCs w:val="32"/>
          <w:cs/>
          <w:lang w:val="th-TH" w:bidi="th-TH"/>
        </w:rPr>
        <w:t xml:space="preserve">เศรษฐกิจหมุนเวียน </w:t>
      </w:r>
      <w:r>
        <w:rPr>
          <w:rFonts w:hint="default" w:ascii="TH SarabunPSK" w:hAnsi="TH SarabunPSK" w:eastAsia="SimSun" w:cs="TH SarabunPSK"/>
          <w:sz w:val="32"/>
          <w:szCs w:val="32"/>
          <w:cs w:val="0"/>
        </w:rPr>
        <w:t xml:space="preserve">(Circular Economy) </w:t>
      </w:r>
      <w:r>
        <w:rPr>
          <w:rFonts w:hint="default" w:ascii="TH SarabunPSK" w:hAnsi="TH SarabunPSK" w:eastAsia="SimSun" w:cs="TH SarabunPSK"/>
          <w:sz w:val="32"/>
          <w:szCs w:val="32"/>
          <w:cs/>
          <w:lang w:val="th-TH" w:bidi="th-TH"/>
        </w:rPr>
        <w:t xml:space="preserve">และเศรษฐกิจสีเขียว </w:t>
      </w:r>
      <w:r>
        <w:rPr>
          <w:rFonts w:hint="default" w:ascii="TH SarabunPSK" w:hAnsi="TH SarabunPSK" w:eastAsia="SimSun" w:cs="TH SarabunPSK"/>
          <w:sz w:val="32"/>
          <w:szCs w:val="32"/>
          <w:cs w:val="0"/>
        </w:rPr>
        <w:t>(Green Economy)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44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en-US" w:bidi="th-TH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เกิดผลผลิตที่เป็นนวัตกรรมเชิงพาณิชย์และมีหนังสือรับรองการขอใช้ประโยชน์หน่วยงาน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44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ได้นวัตกรรมที่สามารถจดเป็นทรัพย์สินทางปัญญา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44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มีทุนการทำงานเดิมในการทำงานวิจัยเพื่อพัฒนากำลังคนและสถาบันความรู้ และ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/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หรือหน่วยงานมีนโยบายในการขับเคลื่อนการทำงานในลักษณะนี้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44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มีทุนการทำงานเดิมในการทำงานวิจัยเพื่อพัฒนาสังคม พื้นที่และชุมชนท้องถิ่น และ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/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หรือ หน่วยงานมีนโยบายในการขับเคลื่อนการทำงานในลักษณะนี้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44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โครงการที่มีการสะท้อนความร่วมมือและการสนับสนุนจากภาคีผู้ใช้งานในระดับพื้นที่ หรือมีความร่วมมือในรูปแบบของงบประมาณสมทบ หรือการสนับสนุนอื่นๆ 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44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โครงการได้รับการสนับสนุนจากผู้ใช้งานระดับหน่วยงานหรือภาคอุตสาหกรรม</w:t>
      </w:r>
    </w:p>
    <w:p>
      <w:pPr>
        <w:keepNext w:val="0"/>
        <w:keepLines w:val="0"/>
        <w:pageBreakBefore w:val="0"/>
        <w:widowControl/>
        <w:numPr>
          <w:ilvl w:val="1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1440" w:right="0" w:hanging="360"/>
        <w:jc w:val="left"/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กรณีโครงการที่มีการสะท้อนความร่วมมือและการสนับสนุนจากภาคีผู้ใช้งาน มีองค์ประกอบ การผนึกกำลังการทำงานในรูปแบบของ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“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จตุภาคี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”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หรือ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 xml:space="preserve">Quadruple Helix 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ซึ่งเป็นการทำงาน ร่วมกันระหว่าง ภาครัฐ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/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เอกชน ชุมชน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/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>สังคม มหาวิทยาลัย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</w:rPr>
        <w:t>/</w:t>
      </w:r>
      <w:r>
        <w:rPr>
          <w:rFonts w:hint="default" w:ascii="TH SarabunPSK" w:hAnsi="TH SarabunPSK" w:eastAsia="Sarabun" w:cs="TH SarabunPSK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  <w:rtl w:val="0"/>
          <w:cs/>
          <w:lang w:val="th-TH" w:bidi="th-TH"/>
        </w:rPr>
        <w:t xml:space="preserve">สถาบันวิจัย รวมถึงเครือข่ายต่างประเทศ 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200" w:line="276" w:lineRule="auto"/>
        <w:ind w:left="1440" w:right="0" w:firstLine="0"/>
        <w:jc w:val="left"/>
        <w:rPr>
          <w:rFonts w:ascii="Sarabun" w:hAnsi="Sarabun" w:eastAsia="Sarabun" w:cs="Sarabun"/>
          <w:b w:val="0"/>
          <w:i w:val="0"/>
          <w:smallCaps w:val="0"/>
          <w:strike w:val="0"/>
          <w:color w:val="000000"/>
          <w:sz w:val="32"/>
          <w:szCs w:val="32"/>
          <w:u w:val="none"/>
          <w:shd w:val="clear" w:fill="auto"/>
          <w:vertAlign w:val="baseline"/>
        </w:rPr>
      </w:pPr>
    </w:p>
    <w:sectPr>
      <w:headerReference r:id="rId5" w:type="default"/>
      <w:pgSz w:w="11906" w:h="16838"/>
      <w:pgMar w:top="1440" w:right="1440" w:bottom="1440" w:left="1440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H Sarabun PS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TH SarabunPSK">
    <w:panose1 w:val="020B0500040200020003"/>
    <w:charset w:val="00"/>
    <w:family w:val="auto"/>
    <w:pitch w:val="default"/>
    <w:sig w:usb0="A100006F" w:usb1="5000205A" w:usb2="00000000" w:usb3="00000000" w:csb0="60010183" w:csb1="80000000"/>
  </w:font>
  <w:font w:name="Sarabun">
    <w:altName w:val="TH Sarabun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TH Sarabun New">
    <w:panose1 w:val="020B0500040200020003"/>
    <w:charset w:val="00"/>
    <w:family w:val="auto"/>
    <w:pitch w:val="default"/>
    <w:sig w:usb0="A100006F" w:usb1="5000205A" w:usb2="00000000" w:usb3="00000000" w:csb0="60010183" w:csb1="8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13"/>
        <w:tab w:val="right" w:pos="9026"/>
      </w:tabs>
      <w:spacing w:before="0" w:after="0" w:line="240" w:lineRule="auto"/>
      <w:ind w:left="0" w:right="0" w:firstLine="0"/>
      <w:jc w:val="right"/>
      <w:rPr>
        <w:rFonts w:hint="cs" w:ascii="Angsana New" w:hAnsi="Angsana New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  <w:cs/>
        <w:lang w:val="en-US" w:bidi="th-TH"/>
      </w:rPr>
    </w:pPr>
    <w:r>
      <w:rPr>
        <w:rFonts w:ascii="Calibri" w:hAnsi="Calibri" w:eastAsia="Calibri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  <w:cs/>
        <w:lang w:val="th-TH" w:bidi="th-TH"/>
      </w:rPr>
      <w:t xml:space="preserve">เอกสารประกอบการเสนอโครงการวิจัยงบประมาณเงินรายได้ ประจำปีงบประมาณ </w:t>
    </w:r>
    <w:r>
      <w:rPr>
        <w:rFonts w:hint="default" w:ascii="Angsana New" w:hAnsi="Angsana New" w:eastAsia="Calibri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</w:rPr>
      <w:t>256</w:t>
    </w:r>
    <w:r>
      <w:rPr>
        <w:rFonts w:hint="cs" w:ascii="Angsana New" w:hAnsi="Angsana New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  <w:cs/>
        <w:lang w:val="en-US" w:bidi="th-TH"/>
      </w:rPr>
      <w:t>9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513"/>
        <w:tab w:val="right" w:pos="9026"/>
      </w:tabs>
      <w:spacing w:before="0" w:after="0" w:line="240" w:lineRule="auto"/>
      <w:ind w:left="0" w:right="0" w:firstLine="0"/>
      <w:jc w:val="right"/>
      <w:rPr>
        <w:rFonts w:hint="cs" w:ascii="Angsana New" w:hAnsi="Angsana New" w:cs="Angsana New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rtl w:val="0"/>
        <w:cs/>
        <w:lang w:val="en-US" w:bidi="th-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entative="0">
      <w:start w:val="1"/>
      <w:numFmt w:val="decimal"/>
      <w:lvlText w:val="8.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CF092B84"/>
    <w:multiLevelType w:val="multilevel"/>
    <w:tmpl w:val="CF092B84"/>
    <w:lvl w:ilvl="0" w:tentative="0">
      <w:start w:val="2"/>
      <w:numFmt w:val="decimal"/>
      <w:lvlText w:val="%1"/>
      <w:lvlJc w:val="left"/>
      <w:pPr>
        <w:ind w:left="360" w:hanging="360"/>
      </w:pPr>
    </w:lvl>
    <w:lvl w:ilvl="1" w:tentative="0">
      <w:start w:val="1"/>
      <w:numFmt w:val="decimal"/>
      <w:lvlText w:val="%1.%2"/>
      <w:lvlJc w:val="left"/>
      <w:pPr>
        <w:ind w:left="1800" w:hanging="360"/>
      </w:pPr>
    </w:lvl>
    <w:lvl w:ilvl="2" w:tentative="0">
      <w:start w:val="1"/>
      <w:numFmt w:val="decimal"/>
      <w:lvlText w:val="%1.%2.%3"/>
      <w:lvlJc w:val="left"/>
      <w:pPr>
        <w:ind w:left="3600" w:hanging="720"/>
      </w:pPr>
    </w:lvl>
    <w:lvl w:ilvl="3" w:tentative="0">
      <w:start w:val="1"/>
      <w:numFmt w:val="decimal"/>
      <w:lvlText w:val="%1.%2.%3.%4"/>
      <w:lvlJc w:val="left"/>
      <w:pPr>
        <w:ind w:left="5040" w:hanging="720"/>
      </w:pPr>
    </w:lvl>
    <w:lvl w:ilvl="4" w:tentative="0">
      <w:start w:val="1"/>
      <w:numFmt w:val="decimal"/>
      <w:lvlText w:val="%1.%2.%3.%4.%5"/>
      <w:lvlJc w:val="left"/>
      <w:pPr>
        <w:ind w:left="6480" w:hanging="720"/>
      </w:pPr>
    </w:lvl>
    <w:lvl w:ilvl="5" w:tentative="0">
      <w:start w:val="1"/>
      <w:numFmt w:val="decimal"/>
      <w:lvlText w:val="%1.%2.%3.%4.%5.%6"/>
      <w:lvlJc w:val="left"/>
      <w:pPr>
        <w:ind w:left="8280" w:hanging="1080"/>
      </w:pPr>
    </w:lvl>
    <w:lvl w:ilvl="6" w:tentative="0">
      <w:start w:val="1"/>
      <w:numFmt w:val="decimal"/>
      <w:lvlText w:val="%1.%2.%3.%4.%5.%6.%7"/>
      <w:lvlJc w:val="left"/>
      <w:pPr>
        <w:ind w:left="9720" w:hanging="1080"/>
      </w:pPr>
    </w:lvl>
    <w:lvl w:ilvl="7" w:tentative="0">
      <w:start w:val="1"/>
      <w:numFmt w:val="decimal"/>
      <w:lvlText w:val="%1.%2.%3.%4.%5.%6.%7.%8"/>
      <w:lvlJc w:val="left"/>
      <w:pPr>
        <w:ind w:left="11520" w:hanging="1440"/>
      </w:pPr>
    </w:lvl>
    <w:lvl w:ilvl="8" w:tentative="0">
      <w:start w:val="1"/>
      <w:numFmt w:val="decimal"/>
      <w:lvlText w:val="%1.%2.%3.%4.%5.%6.%7.%8.%9"/>
      <w:lvlJc w:val="left"/>
      <w:pPr>
        <w:ind w:left="12960" w:hanging="1440"/>
      </w:p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ADCABA"/>
    <w:multiLevelType w:val="multilevel"/>
    <w:tmpl w:val="59ADCABA"/>
    <w:lvl w:ilvl="0" w:tentative="0">
      <w:start w:val="1"/>
      <w:numFmt w:val="bullet"/>
      <w:lvlText w:val="-"/>
      <w:lvlJc w:val="left"/>
      <w:pPr>
        <w:ind w:left="720" w:hanging="360"/>
      </w:pPr>
      <w:rPr>
        <w:rFonts w:ascii="Sarabun" w:hAnsi="Sarabun" w:eastAsia="Sarabun" w:cs="Sarabu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5"/>
  </w:compat>
  <w:rsids>
    <w:rsidRoot w:val="00000000"/>
    <w:rsid w:val="10840CB2"/>
    <w:rsid w:val="1B54235B"/>
    <w:rsid w:val="6BF24D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autoRedefine/>
    <w:qFormat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footer"/>
    <w:basedOn w:val="1"/>
    <w:link w:val="17"/>
    <w:autoRedefine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1">
    <w:name w:val="header"/>
    <w:basedOn w:val="1"/>
    <w:link w:val="16"/>
    <w:autoRedefine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2">
    <w:name w:val="Subtitle"/>
    <w:basedOn w:val="1"/>
    <w:next w:val="1"/>
    <w:autoRedefine/>
    <w:qFormat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3">
    <w:name w:val="Title"/>
    <w:basedOn w:val="1"/>
    <w:next w:val="1"/>
    <w:autoRedefine/>
    <w:qFormat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4">
    <w:name w:val="Table Normal1"/>
    <w:autoRedefine/>
    <w:qFormat/>
    <w:uiPriority w:val="0"/>
  </w:style>
  <w:style w:type="paragraph" w:styleId="15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16">
    <w:name w:val="หัวกระดาษ อักขระ"/>
    <w:basedOn w:val="8"/>
    <w:link w:val="11"/>
    <w:autoRedefine/>
    <w:qFormat/>
    <w:uiPriority w:val="99"/>
  </w:style>
  <w:style w:type="character" w:customStyle="1" w:styleId="17">
    <w:name w:val="ท้ายกระดาษ อักขระ"/>
    <w:basedOn w:val="8"/>
    <w:link w:val="10"/>
    <w:autoRedefine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zRMdi7bBqtKsdYednyh06TL43g==">AMUW2mXMOXgzKNeBXJBpiagxHRLb4HbobybnhflWB/oIkKN20XazH+TIrFp5+vYmZoNAHqNJ7zKLhoTm9STbFC8HME9/GW51MPVEnY9n8vJBo7/9GkVLuG0=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12</TotalTime>
  <ScaleCrop>false</ScaleCrop>
  <LinksUpToDate>false</LinksUpToDate>
  <Application>WPS Office_12.2.0.16731_F1E327BC-269C-435d-A152-05C5408002CA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2020-05-14T05:59:00Z</dcterms:created>
  <dc:creator>IRD</dc:creator>
  <cp:lastModifiedBy>SWS-Comp</cp:lastModifiedBy>
  <dcterms:modified xsi:type="dcterms:W3CDTF">2024-05-08T04:09:55Z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5E879F53AF3D4B7E8BC7DA40D835BF5E</vt:lpwstr>
  </property>
</Properties>
</file>